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086" w:rsidRDefault="002B2086" w:rsidP="002B2086">
      <w:r>
        <w:t>Professor C is a lively and popular classroom professor in the history department. He is 63 years old and has always had a reputation as being very “friendly” with female students and staff members, but there has never been a complaint of sexual harassment. He has also been an active social drinker at both university events and elsewhere, but has not previously had any DUI’s or other problems as a result. At a history department graduation party for students this past spring, however, Professor C, had too much to drink, gave a ride home to a student and made unwanted sexual advances during the ride, and after dropping her off, was cited by law enforcement for reckless driving, the story making the evening television news. The student has since filed a sexual harassment claim, which has become public because she talked with the media. Since this became public, other students and staff and colleagues have begun to advise the department chair and dean about other similar incidents that did not result in ticketing or an official grievance process. Professor C told the Department Chair that he has always been a drinker, but as he has gotten older, he tends to drink more. He recently realized that he needs treatment for alcoholism and has a diagnosed condition of sexual disinhibition. He has raised these issues as part of the sexual harassment grievance process. He has provided a statement from a mental health professional about his condition.</w:t>
      </w:r>
    </w:p>
    <w:p w:rsidR="002B2086" w:rsidRDefault="002B2086" w:rsidP="002B2086"/>
    <w:p w:rsidR="002B2086" w:rsidRDefault="002B2086" w:rsidP="002B2086">
      <w:r>
        <w:t xml:space="preserve">What are the disability issues in this scenario? What are the relevant laws? How should this situation be resolved? </w:t>
      </w:r>
    </w:p>
    <w:p w:rsidR="002B2086" w:rsidRDefault="002B2086" w:rsidP="002B2086"/>
    <w:p w:rsidR="00BA39D5" w:rsidRDefault="002B2086" w:rsidP="002B2086">
      <w:r>
        <w:t xml:space="preserve">Source:  Current Disability Law Issues – Faculty &amp; Students Stetson University School of Law Center for Excellence in Higher Education Law and </w:t>
      </w:r>
      <w:proofErr w:type="gramStart"/>
      <w:r>
        <w:t>Policy,  Laura</w:t>
      </w:r>
      <w:proofErr w:type="gramEnd"/>
      <w:r>
        <w:t xml:space="preserve"> Rothstein, 2012</w:t>
      </w:r>
      <w:bookmarkStart w:id="0" w:name="_GoBack"/>
      <w:bookmarkEnd w:id="0"/>
    </w:p>
    <w:sectPr w:rsidR="00BA39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86"/>
    <w:rsid w:val="002B2086"/>
    <w:rsid w:val="00BA3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4EF1E8-9253-4AA4-892A-DB326C34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39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2020-11-09T17:37:00Z</dcterms:created>
  <dcterms:modified xsi:type="dcterms:W3CDTF">2020-11-09T17:41:00Z</dcterms:modified>
</cp:coreProperties>
</file>